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63770A" w:rsidRPr="0063770A" w:rsidRDefault="000F540A" w:rsidP="0063770A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pacing w:val="-8"/>
          <w:sz w:val="28"/>
          <w:szCs w:val="28"/>
        </w:rPr>
        <w:t>Природоохранная прокуратура</w:t>
      </w:r>
      <w:r w:rsidR="00AA0DE7" w:rsidRPr="0063770A">
        <w:rPr>
          <w:spacing w:val="-8"/>
          <w:sz w:val="28"/>
          <w:szCs w:val="28"/>
        </w:rPr>
        <w:t xml:space="preserve"> </w:t>
      </w:r>
      <w:r w:rsidR="007977CF" w:rsidRPr="0063770A">
        <w:rPr>
          <w:spacing w:val="-8"/>
          <w:sz w:val="28"/>
          <w:szCs w:val="28"/>
        </w:rPr>
        <w:t xml:space="preserve">разъясняет, что </w:t>
      </w:r>
      <w:r w:rsidR="0063770A" w:rsidRPr="0063770A">
        <w:rPr>
          <w:spacing w:val="-8"/>
          <w:sz w:val="28"/>
          <w:szCs w:val="28"/>
        </w:rPr>
        <w:t>в</w:t>
      </w:r>
      <w:r w:rsidR="0063770A" w:rsidRPr="0063770A">
        <w:rPr>
          <w:sz w:val="28"/>
          <w:szCs w:val="28"/>
        </w:rPr>
        <w:t xml:space="preserve"> соответствии с ч. 14 ст. 17 Федерального закона от 28.12.2013 № 400-ФЗ «О страховых пенсиях» лица, проработавшие в сельской местности не менее 30 лет имеют право на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законом (за исключением лиц, являющихся получателями пенсии за выслугу лет либо пенсии по инвалидности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 Фиксированная выплата установлена в сумме 4 982 рубля 90 копеек в месяц, фиксированная выплата к страховой пенсии по инвалидности инвалидам III группы, а также по случаю потери кормильца установлена в сумме, равной 50 процентам от 4 985,90 рублей).</w:t>
      </w:r>
    </w:p>
    <w:p w:rsidR="0063770A" w:rsidRPr="0063770A" w:rsidRDefault="0063770A" w:rsidP="0063770A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z w:val="28"/>
          <w:szCs w:val="28"/>
        </w:rPr>
        <w:t>Ранее эта выплата прекращалась в случае, если пенсионер переезжал на новое место жительство с выездом из сельской местности.</w:t>
      </w:r>
    </w:p>
    <w:p w:rsidR="0063770A" w:rsidRPr="0063770A" w:rsidRDefault="0063770A" w:rsidP="0063770A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z w:val="28"/>
          <w:szCs w:val="28"/>
        </w:rPr>
        <w:t>С 01.01.2022 нера</w:t>
      </w:r>
      <w:bookmarkStart w:id="0" w:name="_GoBack"/>
      <w:bookmarkEnd w:id="0"/>
      <w:r w:rsidRPr="0063770A">
        <w:rPr>
          <w:sz w:val="28"/>
          <w:szCs w:val="28"/>
        </w:rPr>
        <w:t>ботающий пенсионер, проживающий в сельской местности и проработавший не менее 30 календарных лет в сельском хозяйстве, вправе получать фиксированную выплату к страховой пенсии по старости или по инвалидности независимо от его выезда на новое место жительства из сельской местности. Лицам, которым был осуществлен перерасчет размера фиксированной выплаты в связи с выездом за пределы сельской местности до 01.01.2022, повышение фиксированной выплаты после указанной даты должно быть установлено органами пенсионного фонда без истребования заявления о перерасчете.</w:t>
      </w:r>
    </w:p>
    <w:p w:rsidR="009433F0" w:rsidRPr="0063770A" w:rsidRDefault="009433F0" w:rsidP="00894F7F">
      <w:pPr>
        <w:shd w:val="clear" w:color="auto" w:fill="FFFFFF"/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63770A" w:rsidRDefault="00025966" w:rsidP="00894F7F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894F7F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F8" w:rsidRDefault="009D03F8">
      <w:r>
        <w:separator/>
      </w:r>
    </w:p>
  </w:endnote>
  <w:endnote w:type="continuationSeparator" w:id="0">
    <w:p w:rsidR="009D03F8" w:rsidRDefault="009D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F8" w:rsidRDefault="009D03F8">
      <w:r>
        <w:separator/>
      </w:r>
    </w:p>
  </w:footnote>
  <w:footnote w:type="continuationSeparator" w:id="0">
    <w:p w:rsidR="009D03F8" w:rsidRDefault="009D0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5545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5545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94F7F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7945"/>
    <w:rsid w:val="00972BC4"/>
    <w:rsid w:val="009A045D"/>
    <w:rsid w:val="009A571D"/>
    <w:rsid w:val="009A65E4"/>
    <w:rsid w:val="009C0DBF"/>
    <w:rsid w:val="009C2002"/>
    <w:rsid w:val="009D03F8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55458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2022-07-06T05:11:00Z</cp:lastPrinted>
  <dcterms:created xsi:type="dcterms:W3CDTF">2022-07-05T08:21:00Z</dcterms:created>
  <dcterms:modified xsi:type="dcterms:W3CDTF">2022-07-06T05:11:00Z</dcterms:modified>
</cp:coreProperties>
</file>