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spacing w:after="0" w:line="240" w:lineRule="auto"/>
        <w:ind/>
        <w:rPr>
          <w:rFonts w:ascii="PF Din Text Comp Pro" w:hAnsi="PF Din Text Comp Pro"/>
          <w:caps w:val="1"/>
          <w:color w:themeColor="text1" w:themeTint="80" w:val="000000"/>
          <w:sz w:val="28"/>
        </w:rPr>
      </w:pPr>
      <w:r>
        <w:rPr>
          <w:rFonts w:ascii="Times New Roman" w:hAnsi="Times New Roman"/>
          <w:sz w:val="26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-154305</wp:posOffset>
            </wp:positionH>
            <wp:positionV relativeFrom="paragraph">
              <wp:posOffset>-186690</wp:posOffset>
            </wp:positionV>
            <wp:extent cx="899795" cy="945514"/>
            <wp:wrapSquare distB="0" distL="114300" distR="114300" distT="0" wrapText="bothSides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rcRect b="0%" l="0%" r="0%" t="0%"/>
                    <a:stretch/>
                  </pic:blipFill>
                  <pic:spPr>
                    <a:xfrm rot="0">
                      <a:off x="0" y="0"/>
                      <a:ext cx="899795" cy="945514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PF Din Text Comp Pro" w:hAnsi="PF Din Text Comp Pro"/>
          <w:caps w:val="1"/>
          <w:color w:themeColor="text1" w:themeTint="80" w:val="000000"/>
          <w:sz w:val="28"/>
        </w:rPr>
        <w:t xml:space="preserve">УПРАВЛЕНИЕ ФЕДЕРАЛЬНОЙ </w:t>
      </w:r>
    </w:p>
    <w:p w14:paraId="02000000">
      <w:pPr>
        <w:spacing w:after="0" w:line="240" w:lineRule="auto"/>
        <w:ind/>
        <w:rPr>
          <w:rFonts w:ascii="PF Din Text Comp Pro" w:hAnsi="PF Din Text Comp Pro"/>
          <w:b w:val="1"/>
          <w:caps w:val="1"/>
          <w:color w:themeColor="text1" w:themeTint="80" w:val="000000"/>
          <w:sz w:val="26"/>
        </w:rPr>
      </w:pPr>
      <w:r>
        <w:rPr>
          <w:rFonts w:ascii="PF Din Text Comp Pro" w:hAnsi="PF Din Text Comp Pro"/>
          <w:b w:val="1"/>
          <w:caps w:val="1"/>
          <w:color w:themeColor="text1" w:themeTint="80" w:val="000000"/>
          <w:sz w:val="28"/>
        </w:rPr>
        <w:t>НАЛОГОВОЙ СЛУЖБЫ ПО ЛЕНИНГРАДСКОЙ ОБЛАСТИ</w:t>
      </w:r>
    </w:p>
    <w:p w14:paraId="03000000">
      <w:pPr>
        <w:spacing w:after="0" w:line="240" w:lineRule="auto"/>
        <w:ind/>
        <w:jc w:val="both"/>
        <w:rPr>
          <w:rFonts w:ascii="DINCondensedC" w:hAnsi="DINCondensedC"/>
          <w:sz w:val="24"/>
        </w:rPr>
      </w:pPr>
    </w:p>
    <w:p w14:paraId="04000000">
      <w:pPr>
        <w:spacing w:after="0" w:line="240" w:lineRule="auto"/>
        <w:ind/>
        <w:jc w:val="both"/>
        <w:rPr>
          <w:rFonts w:ascii="PF Din Text Comp Pro" w:hAnsi="PF Din Text Comp Pro"/>
          <w:sz w:val="36"/>
        </w:rPr>
      </w:pPr>
      <w:r>
        <w:rPr>
          <w:rFonts w:ascii="DINCondensedC" w:hAnsi="DINCondensedC"/>
          <w:sz w:val="48"/>
        </w:rPr>
        <w:t xml:space="preserve"> </w:t>
      </w:r>
      <w:r>
        <w:rPr>
          <w:rFonts w:ascii="PF Din Text Comp Pro" w:hAnsi="PF Din Text Comp Pro"/>
          <w:sz w:val="36"/>
        </w:rPr>
        <w:t>Инспекция</w:t>
      </w:r>
      <w:r>
        <w:rPr>
          <w:rFonts w:ascii="PF Din Text Comp Pro" w:hAnsi="PF Din Text Comp Pro"/>
          <w:sz w:val="36"/>
        </w:rPr>
        <w:t xml:space="preserve"> ФНС России по </w:t>
      </w:r>
      <w:r>
        <w:rPr>
          <w:rFonts w:ascii="PF Din Text Comp Pro" w:hAnsi="PF Din Text Comp Pro"/>
          <w:sz w:val="36"/>
        </w:rPr>
        <w:t xml:space="preserve">Выборгскому району </w:t>
      </w:r>
      <w:r>
        <w:rPr>
          <w:rFonts w:ascii="PF Din Text Comp Pro" w:hAnsi="PF Din Text Comp Pro"/>
          <w:sz w:val="36"/>
        </w:rPr>
        <w:t xml:space="preserve">Ленинградской области </w:t>
      </w:r>
      <w:r>
        <w:rPr>
          <w:rFonts w:ascii="PF Din Text Comp Pro" w:hAnsi="PF Din Text Comp Pro"/>
          <w:sz w:val="36"/>
        </w:rPr>
        <w:t>напоминает</w:t>
      </w:r>
      <w:bookmarkStart w:id="1" w:name="_GoBack"/>
      <w:bookmarkEnd w:id="1"/>
      <w:r>
        <w:rPr>
          <w:rFonts w:ascii="PF Din Text Comp Pro" w:hAnsi="PF Din Text Comp Pro"/>
          <w:sz w:val="36"/>
        </w:rPr>
        <w:t xml:space="preserve">, что в  целях экономии времени и средств услуга по государственной регистрации юридических лиц и индивидуальных предпринимателей может быть получена в электронном виде. </w:t>
      </w:r>
    </w:p>
    <w:p w14:paraId="05000000">
      <w:pPr>
        <w:spacing w:after="0" w:line="240" w:lineRule="auto"/>
        <w:ind/>
        <w:jc w:val="both"/>
        <w:rPr>
          <w:rFonts w:ascii="PF Din Text Comp Pro" w:hAnsi="PF Din Text Comp Pro"/>
          <w:sz w:val="36"/>
        </w:rPr>
      </w:pPr>
      <w:r>
        <w:rPr>
          <w:rFonts w:ascii="PF Din Text Comp Pro" w:hAnsi="PF Din Text Comp Pro"/>
          <w:sz w:val="36"/>
        </w:rPr>
        <w:t xml:space="preserve">         Для получения данной услуги в электронном виде электронные документы, подписанные усиленной квалифицированной электронной подписью (ЭЦП) заявителя, можно направить в регистрирующий орган с использованием сети  Интернет через сервис «Государственная регистрация юридических лиц и индивидуальных предпринимателей» на сайте ФНС России либо единый портал государственных и муниципальных слуг.</w:t>
      </w:r>
    </w:p>
    <w:p w14:paraId="06000000">
      <w:pPr>
        <w:spacing w:after="0" w:line="240" w:lineRule="auto"/>
        <w:ind/>
        <w:jc w:val="both"/>
        <w:rPr>
          <w:rFonts w:ascii="PF Din Text Comp Pro" w:hAnsi="PF Din Text Comp Pro"/>
          <w:sz w:val="36"/>
        </w:rPr>
      </w:pPr>
      <w:r>
        <w:rPr>
          <w:rFonts w:ascii="PF Din Text Comp Pro" w:hAnsi="PF Din Text Comp Pro"/>
          <w:sz w:val="36"/>
        </w:rPr>
        <w:t xml:space="preserve">       При электронном документообороте:</w:t>
      </w:r>
    </w:p>
    <w:p w14:paraId="07000000">
      <w:pPr>
        <w:numPr>
          <w:ilvl w:val="0"/>
          <w:numId w:val="1"/>
        </w:numPr>
        <w:tabs>
          <w:tab w:leader="none" w:pos="709" w:val="left"/>
          <w:tab w:leader="none" w:pos="720" w:val="clear"/>
        </w:tabs>
        <w:spacing w:after="0" w:line="240" w:lineRule="auto"/>
        <w:ind/>
        <w:jc w:val="both"/>
        <w:rPr>
          <w:rFonts w:ascii="PF Din Text Comp Pro" w:hAnsi="PF Din Text Comp Pro"/>
          <w:sz w:val="36"/>
        </w:rPr>
      </w:pPr>
      <w:r>
        <w:rPr>
          <w:rFonts w:ascii="PF Din Text Comp Pro" w:hAnsi="PF Din Text Comp Pro"/>
          <w:sz w:val="36"/>
        </w:rPr>
        <w:t>исключаются ошибки при заполнении заявлений с помощью специализированного бесплатного программного обеспечения «Подготовка пакета электронных документов для государственной регистрации» - доступно для скачивания на сайте ФНС России (</w:t>
      </w:r>
      <w:r>
        <w:rPr>
          <w:rFonts w:ascii="PF Din Text Comp Pro" w:hAnsi="PF Din Text Comp Pro"/>
          <w:sz w:val="36"/>
        </w:rPr>
        <w:t>www</w:t>
      </w:r>
      <w:r>
        <w:rPr>
          <w:rFonts w:ascii="PF Din Text Comp Pro" w:hAnsi="PF Din Text Comp Pro"/>
          <w:sz w:val="36"/>
        </w:rPr>
        <w:t>.</w:t>
      </w:r>
      <w:r>
        <w:rPr>
          <w:rFonts w:ascii="PF Din Text Comp Pro" w:hAnsi="PF Din Text Comp Pro"/>
          <w:sz w:val="36"/>
        </w:rPr>
        <w:t>nalog</w:t>
      </w:r>
      <w:r>
        <w:rPr>
          <w:rFonts w:ascii="PF Din Text Comp Pro" w:hAnsi="PF Din Text Comp Pro"/>
          <w:sz w:val="36"/>
        </w:rPr>
        <w:t>.</w:t>
      </w:r>
      <w:r>
        <w:rPr>
          <w:rFonts w:ascii="PF Din Text Comp Pro" w:hAnsi="PF Din Text Comp Pro"/>
          <w:sz w:val="36"/>
        </w:rPr>
        <w:t>ru</w:t>
      </w:r>
      <w:r>
        <w:rPr>
          <w:rFonts w:ascii="PF Din Text Comp Pro" w:hAnsi="PF Din Text Comp Pro"/>
          <w:sz w:val="36"/>
        </w:rPr>
        <w:t>);</w:t>
      </w:r>
    </w:p>
    <w:p w14:paraId="08000000">
      <w:pPr>
        <w:numPr>
          <w:ilvl w:val="0"/>
          <w:numId w:val="1"/>
        </w:numPr>
        <w:tabs>
          <w:tab w:leader="none" w:pos="709" w:val="left"/>
          <w:tab w:leader="none" w:pos="720" w:val="clear"/>
        </w:tabs>
        <w:spacing w:after="0" w:line="240" w:lineRule="auto"/>
        <w:ind/>
        <w:jc w:val="both"/>
        <w:rPr>
          <w:rFonts w:ascii="PF Din Text Comp Pro" w:hAnsi="PF Din Text Comp Pro"/>
          <w:sz w:val="36"/>
        </w:rPr>
      </w:pPr>
      <w:r>
        <w:rPr>
          <w:rFonts w:ascii="PF Din Text Comp Pro" w:hAnsi="PF Din Text Comp Pro"/>
          <w:sz w:val="36"/>
        </w:rPr>
        <w:t>экономится время при направлении документов в связи с отсутствием необходимости посещения регистрирующего органа. Документы по государственной регистрации, подписанные ЭЦП регистрирующего органа, направляются заявителю в электронном виде и равнозначны документам, оформленным на бумажном носителе. Получить документы на бумажном носителе можно по запросу;</w:t>
      </w:r>
    </w:p>
    <w:p w14:paraId="09000000">
      <w:pPr>
        <w:numPr>
          <w:ilvl w:val="0"/>
          <w:numId w:val="1"/>
        </w:numPr>
        <w:tabs>
          <w:tab w:leader="none" w:pos="709" w:val="left"/>
          <w:tab w:leader="none" w:pos="720" w:val="clear"/>
        </w:tabs>
        <w:spacing w:after="0" w:line="240" w:lineRule="auto"/>
        <w:ind/>
        <w:jc w:val="both"/>
        <w:rPr>
          <w:rFonts w:ascii="PF Din Text Comp Pro" w:hAnsi="PF Din Text Comp Pro"/>
          <w:sz w:val="36"/>
        </w:rPr>
      </w:pPr>
      <w:r>
        <w:rPr>
          <w:rFonts w:ascii="PF Din Text Comp Pro" w:hAnsi="PF Din Text Comp Pro"/>
          <w:sz w:val="36"/>
        </w:rPr>
        <w:t>минимизируются денежные затраты (при направлении документов в электронном виде не требуется свидетельствование в нотариальном порядке подлинности подписи заявителя на заявлении, представляемом для государственной регистрации; заявители, представляющие документы в электронном виде, освобождаются от уплаты государственной пошлины).</w:t>
      </w:r>
    </w:p>
    <w:p w14:paraId="0A000000">
      <w:pPr>
        <w:spacing w:after="0" w:line="240" w:lineRule="auto"/>
        <w:ind/>
        <w:jc w:val="both"/>
        <w:rPr>
          <w:rFonts w:ascii="PF Din Text Comp Pro" w:hAnsi="PF Din Text Comp Pro"/>
          <w:sz w:val="14"/>
        </w:rPr>
      </w:pPr>
      <w:r>
        <w:rPr>
          <w:rFonts w:ascii="PF Din Text Comp Pro" w:hAnsi="PF Din Text Comp Pro"/>
          <w:sz w:val="36"/>
        </w:rPr>
        <w:t xml:space="preserve">       </w:t>
      </w:r>
      <w:r>
        <w:rPr>
          <w:rFonts w:ascii="PF Din Text Comp Pro" w:hAnsi="PF Din Text Comp Pro"/>
          <w:sz w:val="36"/>
        </w:rPr>
        <w:t>При отсутствии у налогоплательщика усиленной квалифицированной электронной подписи документы для государственной регистрации могут быть направлены в регистрирующий орган через МФЦ или по просьбе заявителя нотариусом. В таком случае в регистрирующий орган документы направляются в электронном виде МФЦ или нотариусом, при этом уплата государственной пошлины не требуется.</w:t>
      </w:r>
    </w:p>
    <w:p w14:paraId="0B000000">
      <w:pPr>
        <w:spacing w:after="0" w:line="240" w:lineRule="auto"/>
        <w:ind/>
        <w:jc w:val="both"/>
        <w:rPr>
          <w:rFonts w:ascii="PF Din Text Comp Pro" w:hAnsi="PF Din Text Comp Pro"/>
          <w:sz w:val="14"/>
        </w:rPr>
      </w:pPr>
    </w:p>
    <w:p w14:paraId="0C000000">
      <w:pPr>
        <w:spacing w:after="0" w:line="240" w:lineRule="auto"/>
        <w:ind/>
        <w:jc w:val="both"/>
        <w:rPr>
          <w:rFonts w:ascii="PF Din Text Comp Pro" w:hAnsi="PF Din Text Comp Pro"/>
          <w:sz w:val="14"/>
        </w:rPr>
      </w:pPr>
    </w:p>
    <w:p w14:paraId="0D000000">
      <w:pPr>
        <w:spacing w:after="0" w:line="240" w:lineRule="auto"/>
        <w:ind/>
        <w:jc w:val="both"/>
        <w:rPr>
          <w:rFonts w:ascii="PF Din Text Comp Pro" w:hAnsi="PF Din Text Comp Pro"/>
          <w:sz w:val="14"/>
        </w:rPr>
      </w:pPr>
    </w:p>
    <w:p w14:paraId="0E000000">
      <w:pPr>
        <w:spacing w:after="0" w:line="240" w:lineRule="auto"/>
        <w:ind/>
        <w:jc w:val="both"/>
        <w:rPr>
          <w:rFonts w:ascii="PF Din Text Comp Pro" w:hAnsi="PF Din Text Comp Pro"/>
          <w:sz w:val="14"/>
        </w:rPr>
      </w:pPr>
    </w:p>
    <w:p w14:paraId="0F000000">
      <w:pPr>
        <w:spacing w:after="0" w:line="240" w:lineRule="auto"/>
        <w:ind/>
        <w:jc w:val="both"/>
        <w:rPr>
          <w:rFonts w:ascii="PF Din Text Comp Pro" w:hAnsi="PF Din Text Comp Pro"/>
          <w:sz w:val="14"/>
        </w:rPr>
      </w:pPr>
    </w:p>
    <w:tbl>
      <w:tblPr>
        <w:tblStyle w:val="Style_1"/>
        <w:tblInd w:type="dxa" w:w="-34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</w:tblPr>
      <w:tblGrid>
        <w:gridCol w:w="11057"/>
      </w:tblGrid>
      <w:tr>
        <w:trPr>
          <w:trHeight w:hRule="atLeast" w:val="577"/>
        </w:trPr>
        <w:tc>
          <w:tcPr>
            <w:tcW w:type="dxa" w:w="11057"/>
            <w:shd w:fill="0099FF" w:val="clear"/>
            <w:vAlign w:val="center"/>
          </w:tcPr>
          <w:p w14:paraId="10000000">
            <w:pPr>
              <w:ind/>
              <w:jc w:val="center"/>
              <w:rPr>
                <w:rFonts w:ascii="PF Din Text Comp Pro" w:hAnsi="PF Din Text Comp Pro"/>
                <w:caps w:val="1"/>
                <w:color w:themeColor="background1" w:val="000000"/>
              </w:rPr>
            </w:pPr>
            <w:r>
              <w:rPr>
                <w:rFonts w:ascii="PF Din Text Comp Pro" w:hAnsi="PF Din Text Comp Pro"/>
                <w:color w:themeColor="background1" w:val="000000"/>
              </w:rPr>
              <w:t xml:space="preserve">Телефон  </w:t>
            </w:r>
            <w:r>
              <w:rPr>
                <w:rFonts w:ascii="PF Din Text Comp Pro" w:hAnsi="PF Din Text Comp Pro"/>
                <w:color w:themeColor="background1" w:val="000000"/>
              </w:rPr>
              <w:t xml:space="preserve">    </w:t>
            </w:r>
            <w:r>
              <w:rPr>
                <w:rFonts w:ascii="PF Din Text Comp Pro" w:hAnsi="PF Din Text Comp Pro"/>
                <w:color w:themeColor="background1" w:val="000000"/>
              </w:rPr>
              <w:t xml:space="preserve">8-800-222-22-22  </w:t>
            </w:r>
            <w:r>
              <w:rPr>
                <w:rFonts w:ascii="PF Din Text Comp Pro" w:hAnsi="PF Din Text Comp Pro"/>
                <w:color w:themeColor="background1" w:val="000000"/>
              </w:rPr>
              <w:t xml:space="preserve">  </w:t>
            </w:r>
            <w:r>
              <w:rPr>
                <w:rFonts w:ascii="PF Din Text Comp Pro" w:hAnsi="PF Din Text Comp Pro"/>
                <w:color w:themeColor="background1" w:val="000000"/>
              </w:rPr>
              <w:t>www</w:t>
            </w:r>
            <w:r>
              <w:rPr>
                <w:rFonts w:ascii="PF Din Text Comp Pro" w:hAnsi="PF Din Text Comp Pro"/>
                <w:color w:themeColor="background1" w:val="000000"/>
              </w:rPr>
              <w:t>.</w:t>
            </w:r>
            <w:r>
              <w:rPr>
                <w:rFonts w:ascii="PF Din Text Comp Pro" w:hAnsi="PF Din Text Comp Pro"/>
                <w:color w:themeColor="background1" w:val="000000"/>
              </w:rPr>
              <w:t>nalog</w:t>
            </w:r>
            <w:r>
              <w:rPr>
                <w:rFonts w:ascii="PF Din Text Comp Pro" w:hAnsi="PF Din Text Comp Pro"/>
                <w:color w:themeColor="background1" w:val="000000"/>
              </w:rPr>
              <w:t>.</w:t>
            </w:r>
            <w:r>
              <w:rPr>
                <w:rFonts w:ascii="PF Din Text Comp Pro" w:hAnsi="PF Din Text Comp Pro"/>
                <w:color w:themeColor="background1" w:val="000000"/>
              </w:rPr>
              <w:t>ru</w:t>
            </w:r>
          </w:p>
        </w:tc>
      </w:tr>
    </w:tbl>
    <w:p w14:paraId="11000000">
      <w:pPr>
        <w:spacing w:after="0" w:line="240" w:lineRule="auto"/>
        <w:ind/>
        <w:rPr>
          <w:rFonts w:ascii="PF Din Text Comp Pro" w:hAnsi="PF Din Text Comp Pro"/>
          <w:b w:val="1"/>
          <w:caps w:val="1"/>
          <w:color w:themeColor="text1" w:themeTint="80" w:val="000000"/>
          <w:sz w:val="14"/>
        </w:rPr>
      </w:pPr>
    </w:p>
    <w:sectPr>
      <w:pgSz w:h="16838" w:w="11906"/>
      <w:pgMar w:bottom="567" w:footer="709" w:gutter="0" w:header="709" w:left="567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Balloon Text"/>
    <w:basedOn w:val="Style_2"/>
    <w:link w:val="Style_7_ch"/>
    <w:pPr>
      <w:spacing w:after="0" w:line="240" w:lineRule="auto"/>
      <w:ind/>
    </w:pPr>
    <w:rPr>
      <w:rFonts w:ascii="Tahoma" w:hAnsi="Tahoma"/>
      <w:sz w:val="16"/>
    </w:rPr>
  </w:style>
  <w:style w:styleId="Style_7_ch" w:type="character">
    <w:name w:val="Balloon Text"/>
    <w:basedOn w:val="Style_2_ch"/>
    <w:link w:val="Style_7"/>
    <w:rPr>
      <w:rFonts w:ascii="Tahoma" w:hAnsi="Tahoma"/>
      <w:sz w:val="16"/>
    </w:rPr>
  </w:style>
  <w:style w:styleId="Style_8" w:type="paragraph">
    <w:name w:val="heading 3"/>
    <w:next w:val="Style_2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basedOn w:val="Style_13"/>
    <w:link w:val="Style_12_ch"/>
    <w:rPr>
      <w:color w:themeColor="hyperlink" w:val="000000"/>
      <w:u w:val="single"/>
    </w:rPr>
  </w:style>
  <w:style w:styleId="Style_12_ch" w:type="character">
    <w:name w:val="Hyperlink"/>
    <w:basedOn w:val="Style_13_ch"/>
    <w:link w:val="Style_12"/>
    <w:rPr>
      <w:color w:themeColor="hyperlink" w:val="000000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List Paragraph"/>
    <w:basedOn w:val="Style_2"/>
    <w:link w:val="Style_18_ch"/>
    <w:pPr>
      <w:ind w:firstLine="0" w:left="720"/>
      <w:contextualSpacing w:val="1"/>
    </w:pPr>
  </w:style>
  <w:style w:styleId="Style_18_ch" w:type="character">
    <w:name w:val="List Paragraph"/>
    <w:basedOn w:val="Style_2_ch"/>
    <w:link w:val="Style_18"/>
  </w:style>
  <w:style w:styleId="Style_19" w:type="paragraph">
    <w:name w:val="toc 8"/>
    <w:next w:val="Style_2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2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21" w:type="paragraph">
    <w:name w:val="Subtitle"/>
    <w:next w:val="Style_2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2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2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styleId="Style_1" w:type="table">
    <w:name w:val="Table Grid"/>
    <w:basedOn w:val="Style_26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